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0F0C0" w14:textId="39299683" w:rsidR="004A2F87" w:rsidRDefault="004A2F87" w:rsidP="004A2F87">
      <w:pPr>
        <w:pStyle w:val="3GPPHeader"/>
        <w:spacing w:after="60"/>
        <w:rPr>
          <w:sz w:val="32"/>
          <w:szCs w:val="32"/>
          <w:highlight w:val="yellow"/>
        </w:rPr>
      </w:pPr>
      <w:r>
        <w:t>3GPP TSG-RAN WG1 Meeting #95</w:t>
      </w:r>
      <w:r>
        <w:tab/>
      </w:r>
      <w:r w:rsidRPr="00612E31">
        <w:rPr>
          <w:i/>
          <w:sz w:val="32"/>
          <w:szCs w:val="32"/>
        </w:rPr>
        <w:t>R1-18</w:t>
      </w:r>
      <w:r w:rsidR="006642D5" w:rsidRPr="00612E31">
        <w:rPr>
          <w:i/>
          <w:sz w:val="32"/>
          <w:szCs w:val="32"/>
        </w:rPr>
        <w:t>13122</w:t>
      </w:r>
    </w:p>
    <w:p w14:paraId="5CB0B00B" w14:textId="64CBFF7E" w:rsidR="004A2F87" w:rsidRPr="00832F73" w:rsidRDefault="004A2F87" w:rsidP="004A2F87">
      <w:pPr>
        <w:pStyle w:val="3GPPHeader"/>
      </w:pPr>
      <w:bookmarkStart w:id="0" w:name="_Hlk528929133"/>
      <w:bookmarkStart w:id="1" w:name="_Hlk528929119"/>
      <w:r>
        <w:t xml:space="preserve">Spokane, </w:t>
      </w:r>
      <w:r w:rsidR="00612E31">
        <w:t xml:space="preserve">WA, </w:t>
      </w:r>
      <w:r>
        <w:t>USA, November 12</w:t>
      </w:r>
      <w:r>
        <w:rPr>
          <w:vertAlign w:val="superscript"/>
        </w:rPr>
        <w:t>th</w:t>
      </w:r>
      <w:r>
        <w:t xml:space="preserve"> – 16</w:t>
      </w:r>
      <w:r>
        <w:rPr>
          <w:vertAlign w:val="superscript"/>
        </w:rPr>
        <w:t>th</w:t>
      </w:r>
      <w:r>
        <w:t xml:space="preserve"> 2018</w:t>
      </w:r>
      <w:bookmarkEnd w:id="0"/>
    </w:p>
    <w:bookmarkEnd w:id="1"/>
    <w:p w14:paraId="1516F60F" w14:textId="66AE3C55" w:rsidR="00E90E49" w:rsidRPr="00D40253" w:rsidRDefault="00E90E49" w:rsidP="002841E7">
      <w:pPr>
        <w:pStyle w:val="3GPPHeader"/>
        <w:spacing w:after="120"/>
        <w:rPr>
          <w:sz w:val="22"/>
          <w:szCs w:val="22"/>
          <w:lang w:val="en-US"/>
        </w:rPr>
      </w:pPr>
      <w:r w:rsidRPr="00D40253">
        <w:rPr>
          <w:sz w:val="22"/>
          <w:szCs w:val="22"/>
          <w:lang w:val="en-US"/>
        </w:rPr>
        <w:t>Agenda Item:</w:t>
      </w:r>
      <w:r w:rsidRPr="00D40253">
        <w:rPr>
          <w:sz w:val="22"/>
          <w:szCs w:val="22"/>
          <w:lang w:val="en-US"/>
        </w:rPr>
        <w:tab/>
      </w:r>
      <w:r w:rsidR="00FF5B1D" w:rsidRPr="00D40253">
        <w:rPr>
          <w:sz w:val="22"/>
          <w:szCs w:val="22"/>
          <w:lang w:val="en-US"/>
        </w:rPr>
        <w:t>7.1.1.1</w:t>
      </w:r>
    </w:p>
    <w:p w14:paraId="2CEA5340" w14:textId="77777777" w:rsidR="00E90E49" w:rsidRPr="00CE0424" w:rsidRDefault="003D3C45" w:rsidP="002841E7">
      <w:pPr>
        <w:pStyle w:val="3GPPHeader"/>
        <w:spacing w:after="120"/>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5F9902E2" w:rsidR="00E90E49" w:rsidRPr="00CE0424" w:rsidRDefault="003D3C45" w:rsidP="002841E7">
      <w:pPr>
        <w:pStyle w:val="3GPPHeader"/>
        <w:spacing w:after="120"/>
        <w:rPr>
          <w:sz w:val="22"/>
          <w:szCs w:val="22"/>
        </w:rPr>
      </w:pPr>
      <w:r>
        <w:rPr>
          <w:sz w:val="22"/>
          <w:szCs w:val="22"/>
        </w:rPr>
        <w:t>Title:</w:t>
      </w:r>
      <w:r w:rsidR="00E90E49" w:rsidRPr="00CE0424">
        <w:rPr>
          <w:sz w:val="22"/>
          <w:szCs w:val="22"/>
        </w:rPr>
        <w:tab/>
      </w:r>
      <w:r w:rsidR="00FF5B1D" w:rsidRPr="00FF5B1D">
        <w:rPr>
          <w:sz w:val="22"/>
          <w:szCs w:val="22"/>
        </w:rPr>
        <w:t>Maintenance for Downlink signals and channels</w:t>
      </w:r>
    </w:p>
    <w:p w14:paraId="73E6E290" w14:textId="441E9507" w:rsidR="00E90E49" w:rsidRDefault="00E90E49" w:rsidP="002841E7">
      <w:pPr>
        <w:pStyle w:val="3GPPHeader"/>
        <w:spacing w:after="120"/>
        <w:rPr>
          <w:sz w:val="22"/>
          <w:szCs w:val="22"/>
        </w:rPr>
      </w:pPr>
      <w:r w:rsidRPr="00CE0424">
        <w:rPr>
          <w:sz w:val="22"/>
          <w:szCs w:val="22"/>
        </w:rPr>
        <w:t>Document for:</w:t>
      </w:r>
      <w:r w:rsidRPr="00CE0424">
        <w:rPr>
          <w:sz w:val="22"/>
          <w:szCs w:val="22"/>
        </w:rPr>
        <w:tab/>
      </w:r>
      <w:r w:rsidRPr="00FF5B1D">
        <w:rPr>
          <w:sz w:val="22"/>
          <w:szCs w:val="22"/>
        </w:rPr>
        <w:t>Discussion, Decision</w:t>
      </w:r>
    </w:p>
    <w:p w14:paraId="64480AAD" w14:textId="77777777" w:rsidR="00ED4893" w:rsidRPr="00CE0424" w:rsidRDefault="00ED4893" w:rsidP="002841E7">
      <w:pPr>
        <w:pStyle w:val="3GPPHeader"/>
        <w:spacing w:after="120"/>
        <w:rPr>
          <w:sz w:val="22"/>
          <w:szCs w:val="22"/>
        </w:rPr>
      </w:pPr>
    </w:p>
    <w:p w14:paraId="2BC9CFB4" w14:textId="77777777" w:rsidR="00E90E49" w:rsidRPr="00CE0424" w:rsidRDefault="00230D18" w:rsidP="00CE0424">
      <w:pPr>
        <w:pStyle w:val="Heading1"/>
      </w:pPr>
      <w:r>
        <w:t>1</w:t>
      </w:r>
      <w:r>
        <w:tab/>
      </w:r>
      <w:r w:rsidR="00E90E49" w:rsidRPr="00CE0424">
        <w:t>Introduction</w:t>
      </w:r>
    </w:p>
    <w:p w14:paraId="31A169D1" w14:textId="13D84B59" w:rsidR="001B1D7A" w:rsidRDefault="00FF5B1D" w:rsidP="00FF5B1D">
      <w:pPr>
        <w:pStyle w:val="BodyText"/>
      </w:pPr>
      <w:r>
        <w:t xml:space="preserve">In the following, we discuss the aspects related to </w:t>
      </w:r>
      <w:r w:rsidRPr="00A061C9">
        <w:t>Paging</w:t>
      </w:r>
      <w:r w:rsidR="00C306FC">
        <w:t xml:space="preserve"> for R</w:t>
      </w:r>
      <w:r>
        <w:t>elease 15 maintenance requiring clarifications.</w:t>
      </w:r>
    </w:p>
    <w:p w14:paraId="2E642665" w14:textId="77D09227" w:rsidR="00FF5B1D" w:rsidRDefault="00230D18" w:rsidP="00FF5B1D">
      <w:pPr>
        <w:pStyle w:val="Heading1"/>
      </w:pPr>
      <w:bookmarkStart w:id="2" w:name="_Ref178064866"/>
      <w:r>
        <w:t>2</w:t>
      </w:r>
      <w:r>
        <w:tab/>
      </w:r>
      <w:bookmarkEnd w:id="2"/>
      <w:r w:rsidR="00FF5B1D">
        <w:tab/>
        <w:t>Paging</w:t>
      </w:r>
    </w:p>
    <w:p w14:paraId="5A362BD2" w14:textId="338D0049" w:rsidR="001408A7" w:rsidRPr="001408A7" w:rsidRDefault="00C306FC" w:rsidP="001408A7">
      <w:pPr>
        <w:pStyle w:val="Heading2"/>
      </w:pPr>
      <w:r>
        <w:t>2</w:t>
      </w:r>
      <w:r w:rsidR="001408A7">
        <w:t xml:space="preserve">.1 </w:t>
      </w:r>
      <w:r w:rsidR="004D1B89">
        <w:tab/>
      </w:r>
      <w:r w:rsidR="001408A7">
        <w:t>Paging monitoring occasions</w:t>
      </w:r>
    </w:p>
    <w:p w14:paraId="4E715DC1" w14:textId="3454AEB7" w:rsidR="002841E7" w:rsidRDefault="003D484D" w:rsidP="002841E7">
      <w:pPr>
        <w:pStyle w:val="BodyText"/>
      </w:pPr>
      <w:r w:rsidRPr="003D484D">
        <w:rPr>
          <w:rFonts w:cs="Arial"/>
        </w:rPr>
        <w:t xml:space="preserve">A paging occasion (PO) consists of a set of PDCCH monitoring occasions (PMOs), which are both equal in number as, and QCL with, the SSBs used in the cell. Every PO is associated with a paging frame (PF). </w:t>
      </w:r>
      <w:r w:rsidR="002841E7">
        <w:t xml:space="preserve">Calculation of PMOs for paging occasions (POs) for the non-default case in NR is based on the </w:t>
      </w:r>
      <w:proofErr w:type="spellStart"/>
      <w:r w:rsidR="002841E7" w:rsidRPr="00433D0C">
        <w:rPr>
          <w:i/>
        </w:rPr>
        <w:t>pagingSearchSpace</w:t>
      </w:r>
      <w:proofErr w:type="spellEnd"/>
      <w:r w:rsidR="002841E7">
        <w:t xml:space="preserve"> parameters (which are the same parameters as provided in any </w:t>
      </w:r>
      <w:proofErr w:type="spellStart"/>
      <w:r w:rsidR="002841E7" w:rsidRPr="00433D0C">
        <w:rPr>
          <w:i/>
        </w:rPr>
        <w:t>SearchSpace</w:t>
      </w:r>
      <w:proofErr w:type="spellEnd"/>
      <w:r w:rsidR="002841E7">
        <w:t xml:space="preserve">). Additionally, the NR framework includes the notion of Paging Frames (PFs) which the POs are associated with. To calculate the PDCCH monitoring occasions for a PO, the </w:t>
      </w:r>
      <w:proofErr w:type="spellStart"/>
      <w:r w:rsidR="002841E7" w:rsidRPr="00433D0C">
        <w:rPr>
          <w:i/>
        </w:rPr>
        <w:t>pagingSearchSpace</w:t>
      </w:r>
      <w:proofErr w:type="spellEnd"/>
      <w:r w:rsidR="002841E7">
        <w:t xml:space="preserve"> parameters are applied from the start of the PF and PDCCH monitoring occasions prior to the PF are ignored. The calculation of slots containing PDCCH monitoring occasions is based on the frame number as defined in section 10.1 in TS 38.213:</w:t>
      </w:r>
    </w:p>
    <w:p w14:paraId="6ADCF1C9" w14:textId="587803DC" w:rsidR="0066668D" w:rsidRDefault="0066668D" w:rsidP="0066668D">
      <w:pPr>
        <w:pStyle w:val="IvDbodytext"/>
        <w:ind w:left="567"/>
        <w:rPr>
          <w:rFonts w:ascii="Times New Roman" w:hAnsi="Times New Roman" w:cs="Times New Roman"/>
        </w:rPr>
      </w:pPr>
      <w:r w:rsidRPr="0066668D">
        <w:rPr>
          <w:rFonts w:ascii="Times New Roman" w:eastAsia="Yu Mincho" w:hAnsi="Times New Roman" w:cs="Times New Roman"/>
        </w:rPr>
        <w:t xml:space="preserve">For search space set </w:t>
      </w:r>
      <w:r w:rsidRPr="0066668D">
        <w:rPr>
          <w:rFonts w:ascii="Times New Roman" w:hAnsi="Times New Roman" w:cs="Times New Roman"/>
          <w:position w:val="-6"/>
        </w:rPr>
        <w:object w:dxaOrig="160" w:dyaOrig="200" w14:anchorId="37E50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1.25pt" o:ole="">
            <v:imagedata r:id="rId8" o:title=""/>
          </v:shape>
          <o:OLEObject Type="Embed" ProgID="Equation.3" ShapeID="_x0000_i1025" DrawAspect="Content" ObjectID="_1602709016" r:id="rId9"/>
        </w:object>
      </w:r>
      <w:r w:rsidRPr="0066668D">
        <w:rPr>
          <w:rFonts w:ascii="Times New Roman" w:eastAsia="Yu Mincho" w:hAnsi="Times New Roman" w:cs="Times New Roman"/>
        </w:rPr>
        <w:t xml:space="preserve">, the UE determines that a PDCCH monitoring occasion(s) exists in a slot with number </w:t>
      </w:r>
      <w:r w:rsidRPr="0066668D">
        <w:rPr>
          <w:rFonts w:ascii="Times New Roman" w:hAnsi="Times New Roman" w:cs="Times New Roman"/>
          <w:position w:val="-12"/>
        </w:rPr>
        <w:object w:dxaOrig="320" w:dyaOrig="360" w14:anchorId="69274D7C">
          <v:shape id="_x0000_i1026" type="#_x0000_t75" style="width:17.25pt;height:17.25pt" o:ole="">
            <v:imagedata r:id="rId10" o:title=""/>
          </v:shape>
          <o:OLEObject Type="Embed" ProgID="Equation.3" ShapeID="_x0000_i1026" DrawAspect="Content" ObjectID="_1602709017" r:id="rId11"/>
        </w:object>
      </w:r>
      <w:r w:rsidRPr="0066668D">
        <w:rPr>
          <w:rFonts w:ascii="Times New Roman" w:hAnsi="Times New Roman" w:cs="Times New Roman"/>
        </w:rPr>
        <w:t xml:space="preserve"> [4, TS 38.211] in a frame with number </w:t>
      </w:r>
      <w:r w:rsidRPr="0066668D">
        <w:rPr>
          <w:rFonts w:ascii="Times New Roman" w:hAnsi="Times New Roman" w:cs="Times New Roman"/>
          <w:position w:val="-12"/>
        </w:rPr>
        <w:object w:dxaOrig="260" w:dyaOrig="360" w14:anchorId="23D4742D">
          <v:shape id="_x0000_i1027" type="#_x0000_t75" style="width:13.5pt;height:17.25pt" o:ole="">
            <v:imagedata r:id="rId12" o:title=""/>
          </v:shape>
          <o:OLEObject Type="Embed" ProgID="Equation.3" ShapeID="_x0000_i1027" DrawAspect="Content" ObjectID="_1602709018" r:id="rId13"/>
        </w:object>
      </w:r>
      <w:r w:rsidRPr="0066668D">
        <w:rPr>
          <w:rFonts w:ascii="Times New Roman" w:hAnsi="Times New Roman" w:cs="Times New Roman"/>
        </w:rPr>
        <w:t xml:space="preserve"> if </w:t>
      </w:r>
      <w:r w:rsidRPr="0066668D">
        <w:rPr>
          <w:rFonts w:ascii="Times New Roman" w:hAnsi="Times New Roman" w:cs="Times New Roman"/>
          <w:position w:val="-12"/>
        </w:rPr>
        <w:object w:dxaOrig="2760" w:dyaOrig="360" w14:anchorId="2879ABEE">
          <v:shape id="_x0000_i1028" type="#_x0000_t75" style="width:138.75pt;height:18.75pt" o:ole="">
            <v:imagedata r:id="rId14" o:title=""/>
          </v:shape>
          <o:OLEObject Type="Embed" ProgID="Equation.3" ShapeID="_x0000_i1028" DrawAspect="Content" ObjectID="_1602709019" r:id="rId15"/>
        </w:object>
      </w:r>
      <w:r w:rsidRPr="0066668D">
        <w:rPr>
          <w:rFonts w:ascii="Times New Roman" w:hAnsi="Times New Roman" w:cs="Times New Roman"/>
        </w:rPr>
        <w:t xml:space="preserve">. </w:t>
      </w:r>
    </w:p>
    <w:p w14:paraId="557851DD" w14:textId="17110D05" w:rsidR="002841E7" w:rsidRPr="0066668D" w:rsidRDefault="002841E7" w:rsidP="0066668D">
      <w:pPr>
        <w:pStyle w:val="IvDbodytext"/>
      </w:pPr>
      <w:r w:rsidRPr="0066668D">
        <w:t xml:space="preserve">In this formula </w:t>
      </w:r>
      <w:proofErr w:type="spellStart"/>
      <w:r w:rsidRPr="0066668D">
        <w:rPr>
          <w:rFonts w:ascii="Times New Roman" w:hAnsi="Times New Roman" w:cs="Times New Roman"/>
          <w:i/>
          <w:iCs/>
        </w:rPr>
        <w:t>k</w:t>
      </w:r>
      <w:r w:rsidRPr="0066668D">
        <w:rPr>
          <w:rFonts w:ascii="Times New Roman" w:hAnsi="Times New Roman" w:cs="Times New Roman"/>
          <w:iCs/>
          <w:vertAlign w:val="subscript"/>
        </w:rPr>
        <w:t>s</w:t>
      </w:r>
      <w:proofErr w:type="spellEnd"/>
      <w:r w:rsidRPr="0066668D">
        <w:t xml:space="preserve"> is the monitoring slot periodicity and</w:t>
      </w:r>
      <w:r w:rsidRPr="0066668D">
        <w:rPr>
          <w:rFonts w:ascii="Times New Roman" w:hAnsi="Times New Roman" w:cs="Times New Roman"/>
          <w:i/>
        </w:rPr>
        <w:t xml:space="preserve"> </w:t>
      </w:r>
      <w:proofErr w:type="spellStart"/>
      <w:r w:rsidRPr="0066668D">
        <w:rPr>
          <w:rFonts w:ascii="Times New Roman" w:hAnsi="Times New Roman" w:cs="Times New Roman"/>
          <w:i/>
          <w:iCs/>
        </w:rPr>
        <w:t>o</w:t>
      </w:r>
      <w:r w:rsidRPr="0066668D">
        <w:rPr>
          <w:rFonts w:ascii="Times New Roman" w:hAnsi="Times New Roman" w:cs="Times New Roman"/>
          <w:iCs/>
          <w:vertAlign w:val="subscript"/>
        </w:rPr>
        <w:t>s</w:t>
      </w:r>
      <w:proofErr w:type="spellEnd"/>
      <w:r w:rsidRPr="0066668D">
        <w:t xml:space="preserve"> is the monitoring slot offset.</w:t>
      </w:r>
    </w:p>
    <w:p w14:paraId="327CEBED" w14:textId="470DD1AA" w:rsidR="002841E7" w:rsidRDefault="002841E7" w:rsidP="002841E7">
      <w:pPr>
        <w:pStyle w:val="IvDbodytext"/>
      </w:pPr>
      <w:r>
        <w:t xml:space="preserve">The </w:t>
      </w:r>
      <w:proofErr w:type="spellStart"/>
      <w:r w:rsidRPr="00433D0C">
        <w:rPr>
          <w:i/>
        </w:rPr>
        <w:t>pagingSearchSpace</w:t>
      </w:r>
      <w:proofErr w:type="spellEnd"/>
      <w:r>
        <w:t xml:space="preserve"> is a continuously repetitive pattern of slots and symbols defining the PDCCH monitoring occasions. </w:t>
      </w:r>
      <w:r w:rsidR="003D484D" w:rsidRPr="003D484D">
        <w:t xml:space="preserve">If the periodicity of the </w:t>
      </w:r>
      <w:proofErr w:type="spellStart"/>
      <w:r w:rsidR="003D484D" w:rsidRPr="003D484D">
        <w:rPr>
          <w:i/>
        </w:rPr>
        <w:t>pagingSearchSpace</w:t>
      </w:r>
      <w:proofErr w:type="spellEnd"/>
      <w:r w:rsidR="003D484D" w:rsidRPr="003D484D">
        <w:t xml:space="preserve"> (p) is not matched with the duration of a frame (f) or the inter-PF interval (i) (not to be confused with the DRX cycle)</w:t>
      </w:r>
      <w:r>
        <w:t xml:space="preserve">, </w:t>
      </w:r>
      <w:r w:rsidR="003D484D" w:rsidRPr="003D484D">
        <w:t xml:space="preserve">i.e. if p </w:t>
      </w:r>
      <w:r w:rsidR="003D484D" w:rsidRPr="003D484D">
        <w:sym w:font="Symbol" w:char="F0B9"/>
      </w:r>
      <w:r w:rsidR="003D484D" w:rsidRPr="003D484D">
        <w:t xml:space="preserve"> i / N (note that if p = f / N then i</w:t>
      </w:r>
      <w:r>
        <w:t>t is also valid that p = i / N)</w:t>
      </w:r>
      <w:r w:rsidR="003D484D" w:rsidRPr="003D484D">
        <w:t xml:space="preserve">, the PMO pattern, and consequently the PO pattern, will shift between different PFs and hence be different for different PFs in an inconsistent manner. </w:t>
      </w:r>
      <w:r>
        <w:rPr>
          <w:lang w:eastAsia="ko-KR"/>
        </w:rPr>
        <w:t xml:space="preserve">Hence, if a radio frame is not evenly divisible by the monitoring slot periodicity (as configured by the </w:t>
      </w:r>
      <w:proofErr w:type="spellStart"/>
      <w:r>
        <w:rPr>
          <w:i/>
          <w:iCs/>
        </w:rPr>
        <w:t>monitoringSlotPeriodicityAndOffset</w:t>
      </w:r>
      <w:proofErr w:type="spellEnd"/>
      <w:r>
        <w:rPr>
          <w:lang w:eastAsia="ko-KR"/>
        </w:rPr>
        <w:t xml:space="preserve"> parameter in the </w:t>
      </w:r>
      <w:proofErr w:type="spellStart"/>
      <w:r>
        <w:rPr>
          <w:i/>
          <w:iCs/>
          <w:lang w:eastAsia="ko-KR"/>
        </w:rPr>
        <w:t>pagingSearchSpace</w:t>
      </w:r>
      <w:proofErr w:type="spellEnd"/>
      <w:r>
        <w:rPr>
          <w:lang w:eastAsia="ko-KR"/>
        </w:rPr>
        <w:t>) and the slot monitoring periodicity is not a multiple of radio frame length, the monitoring slot period will glide in relation to frame boundaries, potentially resulting in different numbers of monitoring slots and POs in different PFs.</w:t>
      </w:r>
    </w:p>
    <w:p w14:paraId="53D80178" w14:textId="36D55DD1" w:rsidR="003D484D" w:rsidRPr="003D484D" w:rsidRDefault="003D484D" w:rsidP="002841E7">
      <w:pPr>
        <w:pStyle w:val="IvDbodytext"/>
      </w:pPr>
      <w:r w:rsidRPr="003D484D">
        <w:t>As an example, if two POs per PF are configured, they may turn out as illustrated below. In addition to the undesirable inconsistency, this can cause problems in dense PO configurations, e.g. when every frame is a PF, when having a PO slip out beyond the end of the PF is not acceptable.</w:t>
      </w:r>
    </w:p>
    <w:p w14:paraId="20BD4757" w14:textId="77777777" w:rsidR="003D484D" w:rsidRPr="003D484D" w:rsidRDefault="003D484D" w:rsidP="003D484D">
      <w:pPr>
        <w:rPr>
          <w:rFonts w:ascii="Arial" w:hAnsi="Arial" w:cs="Arial"/>
        </w:rPr>
      </w:pPr>
      <w:r w:rsidRPr="003D484D">
        <w:rPr>
          <w:rFonts w:ascii="Arial" w:hAnsi="Arial" w:cs="Arial"/>
          <w:noProof/>
        </w:rPr>
        <w:drawing>
          <wp:inline distT="0" distB="0" distL="0" distR="0" wp14:anchorId="26EE5857" wp14:editId="20BFDC45">
            <wp:extent cx="5926982" cy="6452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69158" cy="660719"/>
                    </a:xfrm>
                    <a:prstGeom prst="rect">
                      <a:avLst/>
                    </a:prstGeom>
                    <a:noFill/>
                  </pic:spPr>
                </pic:pic>
              </a:graphicData>
            </a:graphic>
          </wp:inline>
        </w:drawing>
      </w:r>
    </w:p>
    <w:p w14:paraId="4C995283" w14:textId="619F2649" w:rsidR="002841E7" w:rsidRPr="002841E7" w:rsidRDefault="002841E7" w:rsidP="003D484D">
      <w:pPr>
        <w:rPr>
          <w:rFonts w:ascii="Arial" w:hAnsi="Arial" w:cs="Arial"/>
          <w:lang w:eastAsia="ko-KR"/>
        </w:rPr>
      </w:pPr>
      <w:r w:rsidRPr="002841E7">
        <w:rPr>
          <w:rFonts w:ascii="Arial" w:hAnsi="Arial" w:cs="Arial"/>
          <w:lang w:eastAsia="ko-KR"/>
        </w:rPr>
        <w:t xml:space="preserve">For instance, if </w:t>
      </w:r>
      <w:r w:rsidR="00A415F0">
        <w:rPr>
          <w:rFonts w:ascii="Arial" w:hAnsi="Arial" w:cs="Arial"/>
          <w:lang w:eastAsia="ko-KR"/>
        </w:rPr>
        <w:t>an</w:t>
      </w:r>
      <w:r w:rsidRPr="002841E7">
        <w:rPr>
          <w:rFonts w:ascii="Arial" w:hAnsi="Arial" w:cs="Arial"/>
          <w:lang w:eastAsia="ko-KR"/>
        </w:rPr>
        <w:t xml:space="preserve"> operator wants 2 POs in each PF and wants them to be placed with a time distance between them that is greater than the duration of a half-frame but shorter than the duration of a full frame, </w:t>
      </w:r>
      <w:r w:rsidRPr="002841E7">
        <w:rPr>
          <w:rFonts w:ascii="Arial" w:hAnsi="Arial" w:cs="Arial"/>
          <w:lang w:eastAsia="ko-KR"/>
        </w:rPr>
        <w:lastRenderedPageBreak/>
        <w:t>then some PFs will have 2 POs and some will have only 1. It is then unclear what the appropriate setting of Ns be that indicates the number of POs in each PF. Even if the Ns setting could be made unambiguous by letting the POs extend beyond the PF, the PDCCH monitoring slot pattern would be inconsistent between different PFs. This scenario conflicts with the current PO calculation formula and has undesirable properties in general.</w:t>
      </w:r>
    </w:p>
    <w:p w14:paraId="3796FCBB" w14:textId="143B592A" w:rsidR="00EF618B" w:rsidRPr="002841E7" w:rsidRDefault="003D484D" w:rsidP="002841E7">
      <w:pPr>
        <w:rPr>
          <w:rFonts w:ascii="Arial" w:hAnsi="Arial" w:cs="Arial"/>
        </w:rPr>
      </w:pPr>
      <w:r w:rsidRPr="003D484D">
        <w:rPr>
          <w:rFonts w:ascii="Arial" w:hAnsi="Arial" w:cs="Arial"/>
        </w:rPr>
        <w:t xml:space="preserve">It may be argued that this is not </w:t>
      </w:r>
      <w:r w:rsidR="00A415F0">
        <w:rPr>
          <w:rFonts w:ascii="Arial" w:hAnsi="Arial" w:cs="Arial"/>
        </w:rPr>
        <w:t xml:space="preserve">a critical </w:t>
      </w:r>
      <w:r w:rsidRPr="003D484D">
        <w:rPr>
          <w:rFonts w:ascii="Arial" w:hAnsi="Arial" w:cs="Arial"/>
        </w:rPr>
        <w:t xml:space="preserve">problem in </w:t>
      </w:r>
      <w:r w:rsidR="00002E3D">
        <w:rPr>
          <w:rFonts w:ascii="Arial" w:hAnsi="Arial" w:cs="Arial"/>
        </w:rPr>
        <w:t>near-term Release-</w:t>
      </w:r>
      <w:r w:rsidRPr="003D484D">
        <w:rPr>
          <w:rFonts w:ascii="Arial" w:hAnsi="Arial" w:cs="Arial"/>
        </w:rPr>
        <w:t xml:space="preserve">15 deployments, but </w:t>
      </w:r>
      <w:r w:rsidR="00002E3D">
        <w:rPr>
          <w:rFonts w:ascii="Arial" w:hAnsi="Arial" w:cs="Arial"/>
        </w:rPr>
        <w:t>the limitations may have a severe impact later, in fully loaded systems where the paging efficiency is an important performance aspect. W</w:t>
      </w:r>
      <w:r w:rsidRPr="003D484D">
        <w:rPr>
          <w:rFonts w:ascii="Arial" w:hAnsi="Arial" w:cs="Arial"/>
        </w:rPr>
        <w:t xml:space="preserve">hile easy to fix now, </w:t>
      </w:r>
      <w:r w:rsidR="00002E3D">
        <w:rPr>
          <w:rFonts w:ascii="Arial" w:hAnsi="Arial" w:cs="Arial"/>
        </w:rPr>
        <w:t xml:space="preserve">making the required changes will be </w:t>
      </w:r>
      <w:r w:rsidRPr="003D484D">
        <w:rPr>
          <w:rFonts w:ascii="Arial" w:hAnsi="Arial" w:cs="Arial"/>
        </w:rPr>
        <w:t xml:space="preserve">much more </w:t>
      </w:r>
      <w:r w:rsidR="00002E3D">
        <w:rPr>
          <w:rFonts w:ascii="Arial" w:hAnsi="Arial" w:cs="Arial"/>
        </w:rPr>
        <w:t>difficult in R</w:t>
      </w:r>
      <w:r w:rsidRPr="003D484D">
        <w:rPr>
          <w:rFonts w:ascii="Arial" w:hAnsi="Arial" w:cs="Arial"/>
        </w:rPr>
        <w:t>elea</w:t>
      </w:r>
      <w:r w:rsidR="00002E3D">
        <w:rPr>
          <w:rFonts w:ascii="Arial" w:hAnsi="Arial" w:cs="Arial"/>
        </w:rPr>
        <w:t>se-</w:t>
      </w:r>
      <w:r w:rsidRPr="003D484D">
        <w:rPr>
          <w:rFonts w:ascii="Arial" w:hAnsi="Arial" w:cs="Arial"/>
        </w:rPr>
        <w:t>16 or later releases</w:t>
      </w:r>
      <w:r w:rsidR="00002E3D">
        <w:rPr>
          <w:rFonts w:ascii="Arial" w:hAnsi="Arial" w:cs="Arial"/>
        </w:rPr>
        <w:t xml:space="preserve"> due to an already established PMO pattern</w:t>
      </w:r>
      <w:r w:rsidRPr="003D484D">
        <w:rPr>
          <w:rFonts w:ascii="Arial" w:hAnsi="Arial" w:cs="Arial"/>
        </w:rPr>
        <w:t xml:space="preserve">. </w:t>
      </w:r>
      <w:r w:rsidR="00002E3D">
        <w:rPr>
          <w:rFonts w:ascii="Arial" w:hAnsi="Arial" w:cs="Arial"/>
        </w:rPr>
        <w:t>Furthermore</w:t>
      </w:r>
      <w:r w:rsidRPr="003D484D">
        <w:rPr>
          <w:rFonts w:ascii="Arial" w:hAnsi="Arial" w:cs="Arial"/>
        </w:rPr>
        <w:t xml:space="preserve">, yet unforeseen problems caused by this inconsistent PO shifting cannot be precluded when future features are introduced. </w:t>
      </w:r>
    </w:p>
    <w:p w14:paraId="4900934A" w14:textId="77777777" w:rsidR="00EF618B" w:rsidRDefault="0047522B" w:rsidP="00EF618B">
      <w:pPr>
        <w:pStyle w:val="Observation"/>
        <w:rPr>
          <w:lang w:eastAsia="ko-KR"/>
        </w:rPr>
      </w:pPr>
      <w:r>
        <w:rPr>
          <w:lang w:eastAsia="ko-KR"/>
        </w:rPr>
        <w:t xml:space="preserve">The current method for computing paging PDCCH monitoring slots results in inconsistent temporal locations of </w:t>
      </w:r>
      <w:r w:rsidR="008C792D">
        <w:rPr>
          <w:lang w:eastAsia="ko-KR"/>
        </w:rPr>
        <w:t>paging occasions with</w:t>
      </w:r>
      <w:r>
        <w:rPr>
          <w:lang w:eastAsia="ko-KR"/>
        </w:rPr>
        <w:t xml:space="preserve">in </w:t>
      </w:r>
      <w:r w:rsidR="008C792D">
        <w:rPr>
          <w:lang w:eastAsia="ko-KR"/>
        </w:rPr>
        <w:t>paging frames</w:t>
      </w:r>
      <w:r>
        <w:rPr>
          <w:lang w:eastAsia="ko-KR"/>
        </w:rPr>
        <w:t xml:space="preserve">.  </w:t>
      </w:r>
    </w:p>
    <w:p w14:paraId="2DF7865E" w14:textId="1AE9ADD1" w:rsidR="00002E3D" w:rsidRDefault="002841E7" w:rsidP="00002E3D">
      <w:pPr>
        <w:rPr>
          <w:rFonts w:ascii="Arial" w:hAnsi="Arial" w:cs="Arial"/>
        </w:rPr>
      </w:pPr>
      <w:r w:rsidRPr="003D484D">
        <w:rPr>
          <w:rFonts w:ascii="Arial" w:hAnsi="Arial" w:cs="Arial"/>
        </w:rPr>
        <w:t xml:space="preserve">Removing the possibility for such inconsistent PDCCH monitoring patterns to occur only requires a simple change of the PMO calculation for paging. The </w:t>
      </w:r>
      <w:proofErr w:type="spellStart"/>
      <w:r w:rsidRPr="003D484D">
        <w:rPr>
          <w:rFonts w:ascii="Arial" w:hAnsi="Arial" w:cs="Arial"/>
          <w:i/>
        </w:rPr>
        <w:t>pagingSearchSpace</w:t>
      </w:r>
      <w:proofErr w:type="spellEnd"/>
      <w:r w:rsidRPr="003D484D">
        <w:rPr>
          <w:rFonts w:ascii="Arial" w:hAnsi="Arial" w:cs="Arial"/>
        </w:rPr>
        <w:t xml:space="preserve"> is only used to calculate PMOs in relation to a PF. Hence, it is </w:t>
      </w:r>
      <w:r w:rsidR="00ED4893">
        <w:rPr>
          <w:rFonts w:ascii="Arial" w:hAnsi="Arial" w:cs="Arial"/>
        </w:rPr>
        <w:t>natural</w:t>
      </w:r>
      <w:r w:rsidRPr="003D484D">
        <w:rPr>
          <w:rFonts w:ascii="Arial" w:hAnsi="Arial" w:cs="Arial"/>
        </w:rPr>
        <w:t xml:space="preserve"> to </w:t>
      </w:r>
      <w:r w:rsidR="00ED4893">
        <w:rPr>
          <w:rFonts w:ascii="Arial" w:hAnsi="Arial" w:cs="Arial"/>
        </w:rPr>
        <w:t>associate</w:t>
      </w:r>
      <w:r w:rsidRPr="003D484D">
        <w:rPr>
          <w:rFonts w:ascii="Arial" w:hAnsi="Arial" w:cs="Arial"/>
        </w:rPr>
        <w:t xml:space="preserve"> the PMO calculation </w:t>
      </w:r>
      <w:r w:rsidR="00ED4893">
        <w:rPr>
          <w:rFonts w:ascii="Arial" w:hAnsi="Arial" w:cs="Arial"/>
        </w:rPr>
        <w:t>with</w:t>
      </w:r>
      <w:r w:rsidRPr="003D484D">
        <w:rPr>
          <w:rFonts w:ascii="Arial" w:hAnsi="Arial" w:cs="Arial"/>
        </w:rPr>
        <w:t xml:space="preserve"> the PF to which the </w:t>
      </w:r>
      <w:proofErr w:type="spellStart"/>
      <w:r w:rsidRPr="003D484D">
        <w:rPr>
          <w:rFonts w:ascii="Arial" w:hAnsi="Arial" w:cs="Arial"/>
          <w:i/>
        </w:rPr>
        <w:t>pagingSearchSpace</w:t>
      </w:r>
      <w:proofErr w:type="spellEnd"/>
      <w:r w:rsidRPr="003D484D">
        <w:rPr>
          <w:rFonts w:ascii="Arial" w:hAnsi="Arial" w:cs="Arial"/>
        </w:rPr>
        <w:t xml:space="preserve"> is applied</w:t>
      </w:r>
      <w:r w:rsidR="00002E3D">
        <w:rPr>
          <w:rFonts w:ascii="Arial" w:hAnsi="Arial" w:cs="Arial"/>
        </w:rPr>
        <w:t>, which</w:t>
      </w:r>
      <w:r w:rsidRPr="003D484D">
        <w:rPr>
          <w:rFonts w:ascii="Arial" w:hAnsi="Arial" w:cs="Arial"/>
        </w:rPr>
        <w:t xml:space="preserve"> would make the PMO calculation consistently the same for each PF. To do this, the frame number considered as the starting point for the PMO pattern configured by the </w:t>
      </w:r>
      <w:proofErr w:type="spellStart"/>
      <w:r w:rsidRPr="003D484D">
        <w:rPr>
          <w:rFonts w:ascii="Arial" w:hAnsi="Arial" w:cs="Arial"/>
          <w:i/>
        </w:rPr>
        <w:t>pagingSearchSpace</w:t>
      </w:r>
      <w:proofErr w:type="spellEnd"/>
      <w:r w:rsidRPr="003D484D">
        <w:rPr>
          <w:rFonts w:ascii="Arial" w:hAnsi="Arial" w:cs="Arial"/>
        </w:rPr>
        <w:t xml:space="preserve"> should be the PF instead of frame number 0. This would imply a change of the calculation of the slots </w:t>
      </w:r>
      <w:r w:rsidR="00ED4893">
        <w:rPr>
          <w:rFonts w:ascii="Arial" w:hAnsi="Arial" w:cs="Arial"/>
        </w:rPr>
        <w:t xml:space="preserve">indices </w:t>
      </w:r>
      <w:r w:rsidRPr="003D484D">
        <w:rPr>
          <w:rFonts w:ascii="Arial" w:hAnsi="Arial" w:cs="Arial"/>
        </w:rPr>
        <w:t>containing PDCCH monitoring occasions, as described in section 10 of TS 38.213, but only when used for calculation of PDCCH monitoring occasions for paging (i.e. when the search space set is a Type2-PDCCH common search space set)</w:t>
      </w:r>
      <w:r w:rsidR="00ED4893">
        <w:rPr>
          <w:rFonts w:ascii="Arial" w:hAnsi="Arial" w:cs="Arial"/>
        </w:rPr>
        <w:t>. This i</w:t>
      </w:r>
      <w:bookmarkStart w:id="3" w:name="_GoBack"/>
      <w:bookmarkEnd w:id="3"/>
      <w:r w:rsidR="00ED4893">
        <w:rPr>
          <w:rFonts w:ascii="Arial" w:hAnsi="Arial" w:cs="Arial"/>
        </w:rPr>
        <w:t xml:space="preserve">s reflected in the </w:t>
      </w:r>
      <w:r w:rsidR="001D067E">
        <w:rPr>
          <w:rFonts w:ascii="Arial" w:hAnsi="Arial" w:cs="Arial"/>
        </w:rPr>
        <w:t xml:space="preserve">accompanying CR to 38.213. </w:t>
      </w:r>
    </w:p>
    <w:p w14:paraId="16B4332D" w14:textId="04B4C802" w:rsidR="009154AD" w:rsidRDefault="004D1B89" w:rsidP="009530CA">
      <w:pPr>
        <w:pStyle w:val="Proposal"/>
      </w:pPr>
      <w:bookmarkStart w:id="4" w:name="_Toc525924430"/>
      <w:bookmarkStart w:id="5" w:name="_Toc525924450"/>
      <w:bookmarkStart w:id="6" w:name="_Toc528930000"/>
      <w:r>
        <w:t xml:space="preserve">For computing </w:t>
      </w:r>
      <w:r w:rsidR="009154AD">
        <w:t>paging PDCCH monitoring slot indices</w:t>
      </w:r>
      <w:r>
        <w:t xml:space="preserve">, the relative position from the start of the paging frame is used. </w:t>
      </w:r>
      <w:r w:rsidR="00BC445B">
        <w:t xml:space="preserve">Agree </w:t>
      </w:r>
      <w:r w:rsidR="009530CA" w:rsidRPr="009530CA">
        <w:t>accompanying CR to 38.213.</w:t>
      </w:r>
      <w:bookmarkEnd w:id="4"/>
      <w:bookmarkEnd w:id="5"/>
      <w:bookmarkEnd w:id="6"/>
    </w:p>
    <w:p w14:paraId="3A33823F" w14:textId="77777777" w:rsidR="00BC445B" w:rsidRDefault="00BC445B" w:rsidP="00FF5B1D">
      <w:pPr>
        <w:pStyle w:val="BodyText"/>
      </w:pPr>
    </w:p>
    <w:p w14:paraId="6B223788" w14:textId="73BC237A" w:rsidR="00FF5B1D" w:rsidRPr="00FF5B1D" w:rsidRDefault="00990F36" w:rsidP="00440656">
      <w:pPr>
        <w:pStyle w:val="Heading1"/>
      </w:pPr>
      <w:r>
        <w:t>3</w:t>
      </w:r>
      <w:r w:rsidR="00FF5B1D">
        <w:t xml:space="preserve"> </w:t>
      </w:r>
      <w:r w:rsidR="00FF5B1D">
        <w:tab/>
      </w:r>
      <w:r w:rsidR="00440656">
        <w:tab/>
        <w:t>Conclusions</w:t>
      </w:r>
    </w:p>
    <w:p w14:paraId="1FF18527" w14:textId="0958C091" w:rsidR="00EB55E4" w:rsidRDefault="00EB55E4" w:rsidP="00EB55E4">
      <w:pPr>
        <w:pStyle w:val="BodyText"/>
      </w:pPr>
      <w:r w:rsidRPr="00CE0424">
        <w:t xml:space="preserve">Based on the discussion in </w:t>
      </w:r>
      <w:r>
        <w:t xml:space="preserve">the previous </w:t>
      </w:r>
      <w:r w:rsidRPr="00CE0424">
        <w:t>section</w:t>
      </w:r>
      <w:r>
        <w:t>s</w:t>
      </w:r>
      <w:r w:rsidRPr="00CE0424">
        <w:t xml:space="preserve"> we propose the following:</w:t>
      </w:r>
    </w:p>
    <w:p w14:paraId="34B5F5CB" w14:textId="66EF3BA8" w:rsidR="00317831" w:rsidRDefault="00ED4893">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\n \h \z \t "Proposal" \c </w:instrText>
      </w:r>
      <w:r>
        <w:rPr>
          <w:b w:val="0"/>
          <w:bCs/>
        </w:rPr>
        <w:fldChar w:fldCharType="separate"/>
      </w:r>
      <w:hyperlink w:anchor="_Toc528930000" w:history="1">
        <w:r w:rsidR="00317831" w:rsidRPr="003432DE">
          <w:rPr>
            <w:rStyle w:val="Hyperlink"/>
            <w:noProof/>
          </w:rPr>
          <w:t>Proposal 1</w:t>
        </w:r>
        <w:r w:rsidR="00317831">
          <w:rPr>
            <w:rFonts w:asciiTheme="minorHAnsi" w:eastAsiaTheme="minorEastAsia" w:hAnsiTheme="minorHAnsi" w:cstheme="minorBidi"/>
            <w:b w:val="0"/>
            <w:noProof/>
            <w:sz w:val="22"/>
            <w:szCs w:val="22"/>
            <w:lang w:val="en-US" w:eastAsia="en-US"/>
          </w:rPr>
          <w:tab/>
        </w:r>
        <w:r w:rsidR="00317831" w:rsidRPr="003432DE">
          <w:rPr>
            <w:rStyle w:val="Hyperlink"/>
            <w:noProof/>
          </w:rPr>
          <w:t>For computing paging PDCCH monitoring slot indices, the relative position from the start of the paging frame is used. Agree accompanying CR to 38.213.</w:t>
        </w:r>
      </w:hyperlink>
    </w:p>
    <w:p w14:paraId="2CE02217" w14:textId="1EDA387E" w:rsidR="00ED4893" w:rsidRDefault="00ED4893" w:rsidP="00ED4893">
      <w:pPr>
        <w:pStyle w:val="BodyText"/>
      </w:pPr>
      <w:r>
        <w:rPr>
          <w:b/>
          <w:bCs/>
        </w:rPr>
        <w:fldChar w:fldCharType="end"/>
      </w:r>
    </w:p>
    <w:sectPr w:rsidR="00ED4893"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78643" w14:textId="77777777" w:rsidR="00376243" w:rsidRDefault="00376243">
      <w:r>
        <w:separator/>
      </w:r>
    </w:p>
  </w:endnote>
  <w:endnote w:type="continuationSeparator" w:id="0">
    <w:p w14:paraId="04470097" w14:textId="77777777" w:rsidR="00376243" w:rsidRDefault="00376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1C869" w14:textId="77777777" w:rsidR="00376243" w:rsidRDefault="00376243">
      <w:r>
        <w:separator/>
      </w:r>
    </w:p>
  </w:footnote>
  <w:footnote w:type="continuationSeparator" w:id="0">
    <w:p w14:paraId="157F3261" w14:textId="77777777" w:rsidR="00376243" w:rsidRDefault="00376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1AC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7C19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2E3D"/>
    <w:rsid w:val="0000564C"/>
    <w:rsid w:val="00006446"/>
    <w:rsid w:val="00006896"/>
    <w:rsid w:val="00007CDC"/>
    <w:rsid w:val="00011B28"/>
    <w:rsid w:val="00015D15"/>
    <w:rsid w:val="0002564D"/>
    <w:rsid w:val="00025ECA"/>
    <w:rsid w:val="00032322"/>
    <w:rsid w:val="000325B8"/>
    <w:rsid w:val="00034C15"/>
    <w:rsid w:val="00036BA1"/>
    <w:rsid w:val="000422E2"/>
    <w:rsid w:val="00042F22"/>
    <w:rsid w:val="000444EF"/>
    <w:rsid w:val="00050C46"/>
    <w:rsid w:val="00052A07"/>
    <w:rsid w:val="000534E3"/>
    <w:rsid w:val="0005606A"/>
    <w:rsid w:val="00057117"/>
    <w:rsid w:val="000616E7"/>
    <w:rsid w:val="00063780"/>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063"/>
    <w:rsid w:val="000C165A"/>
    <w:rsid w:val="000C2E19"/>
    <w:rsid w:val="000D0D07"/>
    <w:rsid w:val="000D4797"/>
    <w:rsid w:val="000E0527"/>
    <w:rsid w:val="000E1E92"/>
    <w:rsid w:val="000F06D6"/>
    <w:rsid w:val="000F0EB1"/>
    <w:rsid w:val="000F1106"/>
    <w:rsid w:val="000F3BE9"/>
    <w:rsid w:val="000F3F6C"/>
    <w:rsid w:val="000F6DF3"/>
    <w:rsid w:val="001005FF"/>
    <w:rsid w:val="00103F5E"/>
    <w:rsid w:val="001062FB"/>
    <w:rsid w:val="001063E6"/>
    <w:rsid w:val="00113CF4"/>
    <w:rsid w:val="00114DB6"/>
    <w:rsid w:val="001153EA"/>
    <w:rsid w:val="00115643"/>
    <w:rsid w:val="00116765"/>
    <w:rsid w:val="001219F5"/>
    <w:rsid w:val="00121A20"/>
    <w:rsid w:val="0012377F"/>
    <w:rsid w:val="00124314"/>
    <w:rsid w:val="00126B4A"/>
    <w:rsid w:val="00132FD0"/>
    <w:rsid w:val="001344C0"/>
    <w:rsid w:val="001346FA"/>
    <w:rsid w:val="001348FA"/>
    <w:rsid w:val="00135252"/>
    <w:rsid w:val="00137AB5"/>
    <w:rsid w:val="00137F0B"/>
    <w:rsid w:val="001408A7"/>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1D7A"/>
    <w:rsid w:val="001B5A5D"/>
    <w:rsid w:val="001C1CE5"/>
    <w:rsid w:val="001C3D2A"/>
    <w:rsid w:val="001D067E"/>
    <w:rsid w:val="001D51BA"/>
    <w:rsid w:val="001D53E7"/>
    <w:rsid w:val="001D5C7D"/>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1E7"/>
    <w:rsid w:val="00286ACD"/>
    <w:rsid w:val="00287838"/>
    <w:rsid w:val="002907B5"/>
    <w:rsid w:val="00292EB7"/>
    <w:rsid w:val="00296227"/>
    <w:rsid w:val="00296F44"/>
    <w:rsid w:val="0029777D"/>
    <w:rsid w:val="002A055E"/>
    <w:rsid w:val="002A1D4E"/>
    <w:rsid w:val="002A2869"/>
    <w:rsid w:val="002B24D6"/>
    <w:rsid w:val="002C41E6"/>
    <w:rsid w:val="002D071A"/>
    <w:rsid w:val="002D3186"/>
    <w:rsid w:val="002D34B2"/>
    <w:rsid w:val="002D48B0"/>
    <w:rsid w:val="002D5B37"/>
    <w:rsid w:val="002D7637"/>
    <w:rsid w:val="002E17F2"/>
    <w:rsid w:val="002E7CAE"/>
    <w:rsid w:val="002F03AD"/>
    <w:rsid w:val="002F2771"/>
    <w:rsid w:val="002F30FC"/>
    <w:rsid w:val="002F37A9"/>
    <w:rsid w:val="002F4492"/>
    <w:rsid w:val="00301CE6"/>
    <w:rsid w:val="0030256B"/>
    <w:rsid w:val="0030501F"/>
    <w:rsid w:val="00307BA1"/>
    <w:rsid w:val="00311702"/>
    <w:rsid w:val="00311E82"/>
    <w:rsid w:val="00313FD6"/>
    <w:rsid w:val="003143BD"/>
    <w:rsid w:val="00315363"/>
    <w:rsid w:val="00317831"/>
    <w:rsid w:val="003203ED"/>
    <w:rsid w:val="003218E1"/>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5552"/>
    <w:rsid w:val="00376243"/>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84D"/>
    <w:rsid w:val="003D5B1F"/>
    <w:rsid w:val="003E085C"/>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3D0C"/>
    <w:rsid w:val="00437447"/>
    <w:rsid w:val="00440656"/>
    <w:rsid w:val="00441A92"/>
    <w:rsid w:val="004431DC"/>
    <w:rsid w:val="00444F56"/>
    <w:rsid w:val="00446488"/>
    <w:rsid w:val="004517AA"/>
    <w:rsid w:val="00452CAC"/>
    <w:rsid w:val="00455C8A"/>
    <w:rsid w:val="00457565"/>
    <w:rsid w:val="00457B71"/>
    <w:rsid w:val="004669E2"/>
    <w:rsid w:val="004678AB"/>
    <w:rsid w:val="00470C31"/>
    <w:rsid w:val="00471DE0"/>
    <w:rsid w:val="004734D0"/>
    <w:rsid w:val="0047522B"/>
    <w:rsid w:val="0047556B"/>
    <w:rsid w:val="00477768"/>
    <w:rsid w:val="00492BC5"/>
    <w:rsid w:val="004964F1"/>
    <w:rsid w:val="004A16BC"/>
    <w:rsid w:val="004A1958"/>
    <w:rsid w:val="004A2B94"/>
    <w:rsid w:val="004A2D98"/>
    <w:rsid w:val="004A2F87"/>
    <w:rsid w:val="004A633E"/>
    <w:rsid w:val="004B6F6A"/>
    <w:rsid w:val="004B7C0C"/>
    <w:rsid w:val="004C3898"/>
    <w:rsid w:val="004C6604"/>
    <w:rsid w:val="004D1B89"/>
    <w:rsid w:val="004D36B1"/>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29CF"/>
    <w:rsid w:val="00572505"/>
    <w:rsid w:val="00582809"/>
    <w:rsid w:val="0058798C"/>
    <w:rsid w:val="005879B0"/>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6534"/>
    <w:rsid w:val="00611B83"/>
    <w:rsid w:val="00611D5C"/>
    <w:rsid w:val="00612E31"/>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2D5"/>
    <w:rsid w:val="006655EE"/>
    <w:rsid w:val="0066668D"/>
    <w:rsid w:val="00667EE7"/>
    <w:rsid w:val="00670922"/>
    <w:rsid w:val="00670BE1"/>
    <w:rsid w:val="0067218F"/>
    <w:rsid w:val="006741F2"/>
    <w:rsid w:val="00674CC3"/>
    <w:rsid w:val="00675C72"/>
    <w:rsid w:val="006771F9"/>
    <w:rsid w:val="006776D7"/>
    <w:rsid w:val="00681003"/>
    <w:rsid w:val="006817C9"/>
    <w:rsid w:val="00683787"/>
    <w:rsid w:val="00683ECE"/>
    <w:rsid w:val="00692747"/>
    <w:rsid w:val="00695FC2"/>
    <w:rsid w:val="00696949"/>
    <w:rsid w:val="00697052"/>
    <w:rsid w:val="00697A4E"/>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D79"/>
    <w:rsid w:val="006F341D"/>
    <w:rsid w:val="006F3CDE"/>
    <w:rsid w:val="006F4182"/>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0F2B"/>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077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635C"/>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92D"/>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93F"/>
    <w:rsid w:val="00910B7D"/>
    <w:rsid w:val="00911DFB"/>
    <w:rsid w:val="009139D9"/>
    <w:rsid w:val="00914AD8"/>
    <w:rsid w:val="009154AD"/>
    <w:rsid w:val="00916079"/>
    <w:rsid w:val="00917CE9"/>
    <w:rsid w:val="00920BF2"/>
    <w:rsid w:val="00922010"/>
    <w:rsid w:val="00931BD9"/>
    <w:rsid w:val="009368F3"/>
    <w:rsid w:val="00941636"/>
    <w:rsid w:val="00943742"/>
    <w:rsid w:val="00945C05"/>
    <w:rsid w:val="00946945"/>
    <w:rsid w:val="00947713"/>
    <w:rsid w:val="00950DE7"/>
    <w:rsid w:val="009530CA"/>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0F36"/>
    <w:rsid w:val="00991761"/>
    <w:rsid w:val="0099222A"/>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23D3"/>
    <w:rsid w:val="009E35DB"/>
    <w:rsid w:val="009E47A3"/>
    <w:rsid w:val="009E7F9B"/>
    <w:rsid w:val="009F08F3"/>
    <w:rsid w:val="009F344F"/>
    <w:rsid w:val="00A031D8"/>
    <w:rsid w:val="00A048A8"/>
    <w:rsid w:val="00A04F49"/>
    <w:rsid w:val="00A13E54"/>
    <w:rsid w:val="00A140FC"/>
    <w:rsid w:val="00A17F63"/>
    <w:rsid w:val="00A2193B"/>
    <w:rsid w:val="00A2351A"/>
    <w:rsid w:val="00A264A9"/>
    <w:rsid w:val="00A26DCF"/>
    <w:rsid w:val="00A27785"/>
    <w:rsid w:val="00A30187"/>
    <w:rsid w:val="00A3448A"/>
    <w:rsid w:val="00A36297"/>
    <w:rsid w:val="00A415F0"/>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3302"/>
    <w:rsid w:val="00AF42D7"/>
    <w:rsid w:val="00B006FE"/>
    <w:rsid w:val="00B007CB"/>
    <w:rsid w:val="00B02AA9"/>
    <w:rsid w:val="00B02FA3"/>
    <w:rsid w:val="00B05084"/>
    <w:rsid w:val="00B157F9"/>
    <w:rsid w:val="00B20256"/>
    <w:rsid w:val="00B20D09"/>
    <w:rsid w:val="00B2763F"/>
    <w:rsid w:val="00B27AAC"/>
    <w:rsid w:val="00B30929"/>
    <w:rsid w:val="00B3176E"/>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45B"/>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06FC"/>
    <w:rsid w:val="00C3719D"/>
    <w:rsid w:val="00C37CB2"/>
    <w:rsid w:val="00C47010"/>
    <w:rsid w:val="00C473A5"/>
    <w:rsid w:val="00C54995"/>
    <w:rsid w:val="00C54D41"/>
    <w:rsid w:val="00C60783"/>
    <w:rsid w:val="00C64672"/>
    <w:rsid w:val="00C70697"/>
    <w:rsid w:val="00C72093"/>
    <w:rsid w:val="00C72EF4"/>
    <w:rsid w:val="00C744FE"/>
    <w:rsid w:val="00C75D2F"/>
    <w:rsid w:val="00C767BE"/>
    <w:rsid w:val="00C76E3C"/>
    <w:rsid w:val="00C804FE"/>
    <w:rsid w:val="00C81568"/>
    <w:rsid w:val="00C9027A"/>
    <w:rsid w:val="00C9068E"/>
    <w:rsid w:val="00C90E58"/>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65C"/>
    <w:rsid w:val="00D0349B"/>
    <w:rsid w:val="00D10249"/>
    <w:rsid w:val="00D115C3"/>
    <w:rsid w:val="00D11897"/>
    <w:rsid w:val="00D13135"/>
    <w:rsid w:val="00D13E4E"/>
    <w:rsid w:val="00D239A7"/>
    <w:rsid w:val="00D23F47"/>
    <w:rsid w:val="00D36E71"/>
    <w:rsid w:val="00D37D87"/>
    <w:rsid w:val="00D40253"/>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8BF"/>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5E4"/>
    <w:rsid w:val="00EC24D5"/>
    <w:rsid w:val="00EC27C6"/>
    <w:rsid w:val="00EC4207"/>
    <w:rsid w:val="00EC5653"/>
    <w:rsid w:val="00EC71CE"/>
    <w:rsid w:val="00ED1006"/>
    <w:rsid w:val="00ED4893"/>
    <w:rsid w:val="00EF18FE"/>
    <w:rsid w:val="00EF5787"/>
    <w:rsid w:val="00EF60D0"/>
    <w:rsid w:val="00EF618B"/>
    <w:rsid w:val="00F0528D"/>
    <w:rsid w:val="00F06C67"/>
    <w:rsid w:val="00F06DFD"/>
    <w:rsid w:val="00F071D1"/>
    <w:rsid w:val="00F07533"/>
    <w:rsid w:val="00F07E01"/>
    <w:rsid w:val="00F10629"/>
    <w:rsid w:val="00F11840"/>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84B"/>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E5F"/>
    <w:rsid w:val="00FB4C80"/>
    <w:rsid w:val="00FB6A6A"/>
    <w:rsid w:val="00FC4FC8"/>
    <w:rsid w:val="00FC7429"/>
    <w:rsid w:val="00FD07F6"/>
    <w:rsid w:val="00FD1EC8"/>
    <w:rsid w:val="00FD47ED"/>
    <w:rsid w:val="00FD74DB"/>
    <w:rsid w:val="00FD7660"/>
    <w:rsid w:val="00FE0655"/>
    <w:rsid w:val="00FE2365"/>
    <w:rsid w:val="00FE37D7"/>
    <w:rsid w:val="00FE4C7B"/>
    <w:rsid w:val="00FE7336"/>
    <w:rsid w:val="00FE787C"/>
    <w:rsid w:val="00FF45A5"/>
    <w:rsid w:val="00FF5B1D"/>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after="160" w:line="259" w:lineRule="auto"/>
      <w:ind w:left="1310" w:hanging="1310"/>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BodyText2">
    <w:name w:val="Body Text 2"/>
    <w:basedOn w:val="Normal"/>
    <w:link w:val="BodyText2Char"/>
    <w:rsid w:val="00FF5B1D"/>
    <w:pPr>
      <w:spacing w:after="120" w:line="480" w:lineRule="auto"/>
    </w:pPr>
  </w:style>
  <w:style w:type="character" w:customStyle="1" w:styleId="BodyText2Char">
    <w:name w:val="Body Text 2 Char"/>
    <w:basedOn w:val="DefaultParagraphFont"/>
    <w:link w:val="BodyText2"/>
    <w:rsid w:val="00FF5B1D"/>
    <w:rPr>
      <w:rFonts w:ascii="Times New Roman" w:hAnsi="Times New Roman"/>
      <w:lang w:eastAsia="ja-JP"/>
    </w:rPr>
  </w:style>
  <w:style w:type="character" w:customStyle="1" w:styleId="IvDbodytextChar">
    <w:name w:val="IvD bodytext Char"/>
    <w:basedOn w:val="DefaultParagraphFont"/>
    <w:link w:val="IvDbodytext"/>
    <w:locked/>
    <w:rsid w:val="00D40253"/>
    <w:rPr>
      <w:rFonts w:ascii="Arial" w:hAnsi="Arial" w:cs="Arial"/>
      <w:spacing w:val="2"/>
    </w:rPr>
  </w:style>
  <w:style w:type="paragraph" w:customStyle="1" w:styleId="IvDbodytext">
    <w:name w:val="IvD bodytext"/>
    <w:basedOn w:val="Normal"/>
    <w:link w:val="IvDbodytextChar"/>
    <w:rsid w:val="00D40253"/>
    <w:pPr>
      <w:overflowPunct/>
      <w:autoSpaceDE/>
      <w:autoSpaceDN/>
      <w:adjustRightInd/>
      <w:spacing w:before="240" w:after="0"/>
      <w:textAlignment w:val="auto"/>
    </w:pPr>
    <w:rPr>
      <w:rFonts w:ascii="Arial" w:hAnsi="Arial" w:cs="Arial"/>
      <w:spacing w:val="2"/>
      <w:lang w:eastAsia="en-GB"/>
    </w:rPr>
  </w:style>
  <w:style w:type="paragraph" w:styleId="Title">
    <w:name w:val="Title"/>
    <w:basedOn w:val="Normal"/>
    <w:next w:val="Normal"/>
    <w:link w:val="TitleChar"/>
    <w:uiPriority w:val="10"/>
    <w:qFormat/>
    <w:rsid w:val="00AF3302"/>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val="en-US" w:eastAsia="en-US"/>
    </w:rPr>
  </w:style>
  <w:style w:type="character" w:customStyle="1" w:styleId="TitleChar">
    <w:name w:val="Title Char"/>
    <w:basedOn w:val="DefaultParagraphFont"/>
    <w:link w:val="Title"/>
    <w:uiPriority w:val="10"/>
    <w:rsid w:val="00AF3302"/>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0711">
      <w:bodyDiv w:val="1"/>
      <w:marLeft w:val="0"/>
      <w:marRight w:val="0"/>
      <w:marTop w:val="0"/>
      <w:marBottom w:val="0"/>
      <w:divBdr>
        <w:top w:val="none" w:sz="0" w:space="0" w:color="auto"/>
        <w:left w:val="none" w:sz="0" w:space="0" w:color="auto"/>
        <w:bottom w:val="none" w:sz="0" w:space="0" w:color="auto"/>
        <w:right w:val="none" w:sz="0" w:space="0" w:color="auto"/>
      </w:divBdr>
    </w:div>
    <w:div w:id="145439383">
      <w:bodyDiv w:val="1"/>
      <w:marLeft w:val="0"/>
      <w:marRight w:val="0"/>
      <w:marTop w:val="0"/>
      <w:marBottom w:val="0"/>
      <w:divBdr>
        <w:top w:val="none" w:sz="0" w:space="0" w:color="auto"/>
        <w:left w:val="none" w:sz="0" w:space="0" w:color="auto"/>
        <w:bottom w:val="none" w:sz="0" w:space="0" w:color="auto"/>
        <w:right w:val="none" w:sz="0" w:space="0" w:color="auto"/>
      </w:divBdr>
    </w:div>
    <w:div w:id="371273693">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786045290">
      <w:bodyDiv w:val="1"/>
      <w:marLeft w:val="0"/>
      <w:marRight w:val="0"/>
      <w:marTop w:val="0"/>
      <w:marBottom w:val="0"/>
      <w:divBdr>
        <w:top w:val="none" w:sz="0" w:space="0" w:color="auto"/>
        <w:left w:val="none" w:sz="0" w:space="0" w:color="auto"/>
        <w:bottom w:val="none" w:sz="0" w:space="0" w:color="auto"/>
        <w:right w:val="none" w:sz="0" w:space="0" w:color="auto"/>
      </w:divBdr>
    </w:div>
    <w:div w:id="191955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C8E7E-BEEA-425A-9B89-2A21A6E3D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111</TotalTime>
  <Pages>2</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Asbjörn Grövlen</cp:lastModifiedBy>
  <cp:revision>27</cp:revision>
  <cp:lastPrinted>2008-01-31T07:09:00Z</cp:lastPrinted>
  <dcterms:created xsi:type="dcterms:W3CDTF">2018-09-28T16:11:00Z</dcterms:created>
  <dcterms:modified xsi:type="dcterms:W3CDTF">2018-11-02T23:10:00Z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